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tribunal-da-relação-de-lisboa"/>
    <w:p>
      <w:pPr>
        <w:pStyle w:val="Heading2"/>
      </w:pPr>
      <w:r>
        <w:t xml:space="preserve">Tribunal da Relação de Lisboa</w:t>
      </w:r>
    </w:p>
    <w:bookmarkStart w:id="9" w:name="secção-de-família-e-menores"/>
    <w:p>
      <w:pPr>
        <w:pStyle w:val="Heading3"/>
      </w:pPr>
      <w:r>
        <w:t xml:space="preserve">Secção de Família e Menores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</w:t>
      </w:r>
    </w:p>
    <w:p>
      <w:pPr>
        <w:pStyle w:val="BodyText"/>
      </w:pPr>
      <w:r>
        <w:rPr>
          <w:b/>
          <w:bCs/>
        </w:rPr>
        <w:t xml:space="preserve">Apelante:</w:t>
      </w:r>
      <w:r>
        <w:t xml:space="preserve"> </w:t>
      </w:r>
      <w:r>
        <w:t xml:space="preserve">Associação Casa da Juventude, Lda., pessoa coletiva número</w:t>
      </w:r>
      <w:r>
        <w:t xml:space="preserve"> </w:t>
      </w:r>
      <w:r>
        <w:rPr>
          <w:b/>
          <w:bCs/>
        </w:rPr>
        <w:t xml:space="preserve">508 123 456</w:t>
      </w:r>
      <w:r>
        <w:t xml:space="preserve">, com sede na Rua da Liberdade, n.º 45, 1200‑456 Lisboa, representada por</w:t>
      </w:r>
      <w:r>
        <w:t xml:space="preserve"> </w:t>
      </w:r>
      <w:r>
        <w:rPr>
          <w:b/>
          <w:bCs/>
        </w:rPr>
        <w:t xml:space="preserve">Dr. Luís Costa</w:t>
      </w:r>
      <w:r>
        <w:t xml:space="preserve">, advogado, Ordem dos Advogados n.º</w:t>
      </w:r>
      <w:r>
        <w:t xml:space="preserve"> </w:t>
      </w:r>
      <w:r>
        <w:rPr>
          <w:b/>
          <w:bCs/>
        </w:rPr>
        <w:t xml:space="preserve">12345</w:t>
      </w:r>
      <w:r>
        <w:t xml:space="preserve">, e por</w:t>
      </w:r>
      <w:r>
        <w:t xml:space="preserve"> </w:t>
      </w:r>
      <w:r>
        <w:rPr>
          <w:b/>
          <w:bCs/>
        </w:rPr>
        <w:t xml:space="preserve">Dra. Sofia Almeida</w:t>
      </w:r>
      <w:r>
        <w:t xml:space="preserve">, advogada, Ordem dos Advogados n.º</w:t>
      </w:r>
      <w:r>
        <w:t xml:space="preserve"> </w:t>
      </w:r>
      <w:r>
        <w:rPr>
          <w:b/>
          <w:bCs/>
        </w:rPr>
        <w:t xml:space="preserve">67890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Apelante (em causa própria):</w:t>
      </w:r>
      <w:r>
        <w:t xml:space="preserve"> </w:t>
      </w:r>
      <w:r>
        <w:t xml:space="preserve">Carlos Mendes, cidadão português, contribuinte número</w:t>
      </w:r>
      <w:r>
        <w:t xml:space="preserve"> </w:t>
      </w:r>
      <w:r>
        <w:rPr>
          <w:b/>
          <w:bCs/>
        </w:rPr>
        <w:t xml:space="preserve">219 876 543</w:t>
      </w:r>
      <w:r>
        <w:t xml:space="preserve">, residente na Avenida da República, n.º 78, 3.º B, 1050‑162 Lisboa.</w:t>
      </w:r>
    </w:p>
    <w:p>
      <w:pPr>
        <w:pStyle w:val="BodyText"/>
      </w:pPr>
      <w:r>
        <w:rPr>
          <w:b/>
          <w:bCs/>
        </w:rPr>
        <w:t xml:space="preserve">Apelado:</w:t>
      </w:r>
      <w:r>
        <w:t xml:space="preserve"> </w:t>
      </w:r>
      <w:r>
        <w:t xml:space="preserve">João Silva, menor, representado por sua mãe</w:t>
      </w:r>
      <w:r>
        <w:t xml:space="preserve"> </w:t>
      </w:r>
      <w:r>
        <w:rPr>
          <w:b/>
          <w:bCs/>
        </w:rPr>
        <w:t xml:space="preserve">Maria Silva</w:t>
      </w:r>
      <w:r>
        <w:t xml:space="preserve">, contribuinte número</w:t>
      </w:r>
      <w:r>
        <w:t xml:space="preserve"> </w:t>
      </w:r>
      <w:r>
        <w:rPr>
          <w:b/>
          <w:bCs/>
        </w:rPr>
        <w:t xml:space="preserve">123 456 789</w:t>
      </w:r>
      <w:r>
        <w:t xml:space="preserve">, residente na Rua das Flores, n.º 12, 2.º Dt., 1300‑456 Lisboa.</w:t>
      </w:r>
    </w:p>
    <w:p>
      <w:pPr>
        <w:pStyle w:val="BodyText"/>
      </w:pPr>
      <w:r>
        <w:rPr>
          <w:b/>
          <w:bCs/>
        </w:rPr>
        <w:t xml:space="preserve">Juiz a quo:</w:t>
      </w:r>
      <w:r>
        <w:t xml:space="preserve"> </w:t>
      </w:r>
      <w:r>
        <w:t xml:space="preserve">Dr. António Ribeiro – Vara de Família e Menores de Lisboa.</w:t>
      </w:r>
    </w:p>
    <w:p>
      <w:pPr>
        <w:pStyle w:val="BodyText"/>
      </w:pPr>
      <w:r>
        <w:rPr>
          <w:b/>
          <w:bCs/>
        </w:rPr>
        <w:t xml:space="preserve">Data da Sentença Interlocutória:</w:t>
      </w:r>
      <w:r>
        <w:t xml:space="preserve"> </w:t>
      </w:r>
      <w:r>
        <w:t xml:space="preserve">10 de janeiro de 2024.</w:t>
      </w:r>
    </w:p>
    <w:p>
      <w:r>
        <w:pict>
          <v:rect style="width:0;height:1.5pt" o:hralign="center" o:hrstd="t" o:hr="t"/>
        </w:pict>
      </w:r>
    </w:p>
    <w:bookmarkEnd w:id="9"/>
    <w:bookmarkStart w:id="15" w:name="recurso-de-apelação"/>
    <w:p>
      <w:pPr>
        <w:pStyle w:val="Heading3"/>
      </w:pPr>
      <w:r>
        <w:t xml:space="preserve">RECURSO DE APELAÇÃO</w:t>
      </w:r>
    </w:p>
    <w:p>
      <w:pPr>
        <w:pStyle w:val="FirstParagraph"/>
      </w:pPr>
      <w:r>
        <w:rPr>
          <w:b/>
          <w:bCs/>
        </w:rPr>
        <w:t xml:space="preserve">Interposto por:</w:t>
      </w:r>
      <w:r>
        <w:t xml:space="preserve"> </w:t>
      </w:r>
      <w:r>
        <w:t xml:space="preserve">Associação Casa da Juventude, Lda., e Carlos Mendes, nos termos do artigo 562.º e seguintes do Código de Processo Civil, contra a sentença interlocutória proferida nos autos do processo acima identificado, por violação dos princípios do contraditório, da ampla defesa e por imposição de medida cautelar manifestamente excessiva e desproporcional.</w:t>
      </w:r>
    </w:p>
    <w:bookmarkStart w:id="10" w:name="i-exposição-dos-factos"/>
    <w:p>
      <w:pPr>
        <w:pStyle w:val="Heading4"/>
      </w:pPr>
      <w:r>
        <w:t xml:space="preserve">I –</w:t>
      </w:r>
      <w:r>
        <w:t xml:space="preserve"> </w:t>
      </w:r>
      <w:r>
        <w:rPr>
          <w:b/>
          <w:bCs/>
        </w:rPr>
        <w:t xml:space="preserve">Exposição dos Factos</w:t>
      </w:r>
    </w:p>
    <w:p>
      <w:pPr>
        <w:numPr>
          <w:ilvl w:val="0"/>
          <w:numId w:val="1001"/>
        </w:numPr>
      </w:pPr>
      <w:r>
        <w:t xml:space="preserve">Em 10 de janeiro de 2024, o Juiz da Vara de Família e Menores de Lisboa proferiu sentença interlocutória que, entre outras determinações,</w:t>
      </w:r>
      <w:r>
        <w:t xml:space="preserve"> </w:t>
      </w:r>
      <w:r>
        <w:rPr>
          <w:b/>
          <w:bCs/>
        </w:rPr>
        <w:t xml:space="preserve">(a)</w:t>
      </w:r>
      <w:r>
        <w:t xml:space="preserve"> </w:t>
      </w:r>
      <w:r>
        <w:t xml:space="preserve">decretou a</w:t>
      </w:r>
      <w:r>
        <w:t xml:space="preserve"> </w:t>
      </w:r>
      <w:r>
        <w:rPr>
          <w:b/>
          <w:bCs/>
        </w:rPr>
        <w:t xml:space="preserve">interdição preventiva</w:t>
      </w:r>
      <w:r>
        <w:t xml:space="preserve"> </w:t>
      </w:r>
      <w:r>
        <w:t xml:space="preserve">da Associação Casa da Juventude, Lda. de exercer quaisquer atividades de apoio a menores durante o período de investigação criminal;</w:t>
      </w:r>
      <w:r>
        <w:t xml:space="preserve"> </w:t>
      </w:r>
      <w:r>
        <w:rPr>
          <w:b/>
          <w:bCs/>
        </w:rPr>
        <w:t xml:space="preserve">(b)</w:t>
      </w:r>
      <w:r>
        <w:t xml:space="preserve"> </w:t>
      </w:r>
      <w:r>
        <w:t xml:space="preserve">determinou o</w:t>
      </w:r>
      <w:r>
        <w:t xml:space="preserve"> </w:t>
      </w:r>
      <w:r>
        <w:rPr>
          <w:b/>
          <w:bCs/>
        </w:rPr>
        <w:t xml:space="preserve">afastamento imediato</w:t>
      </w:r>
      <w:r>
        <w:t xml:space="preserve"> </w:t>
      </w:r>
      <w:r>
        <w:t xml:space="preserve">de Carlos Mendes do cargo de ex‑diretor da referida associação;</w:t>
      </w:r>
      <w:r>
        <w:t xml:space="preserve"> </w:t>
      </w:r>
      <w:r>
        <w:rPr>
          <w:b/>
          <w:bCs/>
        </w:rPr>
        <w:t xml:space="preserve">(c)</w:t>
      </w:r>
      <w:r>
        <w:t xml:space="preserve"> </w:t>
      </w:r>
      <w:r>
        <w:t xml:space="preserve">fixou, a título de</w:t>
      </w:r>
      <w:r>
        <w:t xml:space="preserve"> </w:t>
      </w:r>
      <w:r>
        <w:rPr>
          <w:b/>
          <w:bCs/>
        </w:rPr>
        <w:t xml:space="preserve">indemnização provisória</w:t>
      </w:r>
      <w:r>
        <w:t xml:space="preserve">, o montante de</w:t>
      </w:r>
      <w:r>
        <w:t xml:space="preserve"> </w:t>
      </w:r>
      <w:r>
        <w:rPr>
          <w:b/>
          <w:bCs/>
        </w:rPr>
        <w:t xml:space="preserve">€ 150 000,00</w:t>
      </w:r>
      <w:r>
        <w:t xml:space="preserve"> </w:t>
      </w:r>
      <w:r>
        <w:t xml:space="preserve">a favor do menor João Silva.</w:t>
      </w:r>
    </w:p>
    <w:p>
      <w:pPr>
        <w:numPr>
          <w:ilvl w:val="0"/>
          <w:numId w:val="1001"/>
        </w:numPr>
      </w:pPr>
      <w:r>
        <w:t xml:space="preserve">A referida decisão foi tomada com base em alegações genéricas de “possível risco para a integridade física e psicológica do menor”, sem que fossem apresentadas provas concretas que justificassem a medida extrema adoptada.</w:t>
      </w:r>
    </w:p>
    <w:p>
      <w:pPr>
        <w:numPr>
          <w:ilvl w:val="0"/>
          <w:numId w:val="1001"/>
        </w:numPr>
      </w:pPr>
      <w:r>
        <w:t xml:space="preserve">Os apelantes foram</w:t>
      </w:r>
      <w:r>
        <w:t xml:space="preserve"> </w:t>
      </w:r>
      <w:r>
        <w:rPr>
          <w:b/>
          <w:bCs/>
        </w:rPr>
        <w:t xml:space="preserve">surpreendidos</w:t>
      </w:r>
      <w:r>
        <w:t xml:space="preserve"> </w:t>
      </w:r>
      <w:r>
        <w:t xml:space="preserve">com a decisão, não tendo sido oportunamente citados para produção de prova pericial nem para apresentação de defesa escrita, violando assim o princípio constitucional do contraditório (artigo 268.º da Constituição da República Portuguesa) e o princípio do devido processo legal (artigo 20.º, nº 2, do CPC).</w:t>
      </w:r>
    </w:p>
    <w:bookmarkEnd w:id="10"/>
    <w:bookmarkStart w:id="11" w:name="ii-fundamentação-jurídica"/>
    <w:p>
      <w:pPr>
        <w:pStyle w:val="Heading4"/>
      </w:pPr>
      <w:r>
        <w:t xml:space="preserve">II –</w:t>
      </w:r>
      <w:r>
        <w:t xml:space="preserve"> </w:t>
      </w:r>
      <w:r>
        <w:rPr>
          <w:b/>
          <w:bCs/>
        </w:rPr>
        <w:t xml:space="preserve">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23"/>
        <w:gridCol w:w="3195"/>
        <w:gridCol w:w="250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Fundamento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Dispositivo Legal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Argumentação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Violação do princípio do contraditório</w:t>
            </w:r>
          </w:p>
        </w:tc>
        <w:tc>
          <w:tcPr/>
          <w:p>
            <w:pPr>
              <w:pStyle w:val="Compact"/>
            </w:pPr>
            <w:r>
              <w:t xml:space="preserve">Art. 268.º da Constituição da República Portuguesa; art. 20.º, nº 2, CPC</w:t>
            </w:r>
          </w:p>
        </w:tc>
        <w:tc>
          <w:tcPr/>
          <w:p>
            <w:pPr>
              <w:pStyle w:val="Compact"/>
            </w:pPr>
            <w:r>
              <w:t xml:space="preserve">A sentença foi proferida sem que os apelantes tivessem sido previamente notificados da intenção de aplicar medida cautelar, nem lhes fosse assegurada a oportunidade de produzir prova pericial ou contrapor as alegações.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Excesso de medida cautelar</w:t>
            </w:r>
          </w:p>
        </w:tc>
        <w:tc>
          <w:tcPr/>
          <w:p>
            <w:pPr>
              <w:pStyle w:val="Compact"/>
            </w:pPr>
            <w:r>
              <w:t xml:space="preserve">Art. 561.º, n.º 2, CPC; art. 4.º da Lei n.º 71/2017 (Proteção de Crianças e Jovens em Risco)</w:t>
            </w:r>
          </w:p>
        </w:tc>
        <w:tc>
          <w:tcPr/>
          <w:p>
            <w:pPr>
              <w:pStyle w:val="Compact"/>
            </w:pPr>
            <w:r>
              <w:t xml:space="preserve">A interdição preventiva da atividade da associação e o afastamento de Carlos Mendes são medidas de natureza gravíssima que requerem prova inequívoca de risco iminente, o que não se verificou nos autos.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Falta de motivação suficiente</w:t>
            </w:r>
          </w:p>
        </w:tc>
        <w:tc>
          <w:tcPr/>
          <w:p>
            <w:pPr>
              <w:pStyle w:val="Compact"/>
            </w:pPr>
            <w:r>
              <w:t xml:space="preserve">Art. 197.º, CPC</w:t>
            </w:r>
          </w:p>
        </w:tc>
        <w:tc>
          <w:tcPr/>
          <w:p>
            <w:pPr>
              <w:pStyle w:val="Compact"/>
            </w:pPr>
            <w:r>
              <w:t xml:space="preserve">A decisão limita‑se a invocar “possível risco” sem indicar os factos concretos, as provas colhidas ou a avaliação pericial que a sustentem, infringindo o dever de motivação da decisão judicial.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Inexistência de perigo de fuga ou de obstáculo à instrução</w:t>
            </w:r>
          </w:p>
        </w:tc>
        <w:tc>
          <w:tcPr/>
          <w:p>
            <w:pPr>
              <w:pStyle w:val="Compact"/>
            </w:pPr>
            <w:r>
              <w:t xml:space="preserve">Art. 562.º, CPC</w:t>
            </w:r>
          </w:p>
        </w:tc>
        <w:tc>
          <w:tcPr/>
          <w:p>
            <w:pPr>
              <w:pStyle w:val="Compact"/>
            </w:pPr>
            <w:r>
              <w:t xml:space="preserve">Não há nos autos indícios de que os apelantes pretendam evadir-se da ação penal ou dificultar a produção de provas, o que torna desnecessária a imposição de medida tão drástica.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Violação do princípio da proporcionalidade</w:t>
            </w:r>
          </w:p>
        </w:tc>
        <w:tc>
          <w:tcPr/>
          <w:p>
            <w:pPr>
              <w:pStyle w:val="Compact"/>
            </w:pPr>
            <w:r>
              <w:t xml:space="preserve">Art. 5.º, n.º 4, da Convenção Europeia dos Direitos Humanos; art. 4.º, n.º 1, da Lei n.º 71/2017</w:t>
            </w:r>
          </w:p>
        </w:tc>
        <w:tc>
          <w:tcPr/>
          <w:p>
            <w:pPr>
              <w:pStyle w:val="Compact"/>
            </w:pPr>
            <w:r>
              <w:t xml:space="preserve">A fixação de indemnização provisória de € 150 000,00 sem prova de dano efetivo constitui medida desproporcional e contrária ao princípio da equidade.</w:t>
            </w:r>
          </w:p>
        </w:tc>
      </w:tr>
    </w:tbl>
    <w:p>
      <w:pPr>
        <w:pStyle w:val="BodyText"/>
      </w:pPr>
      <w:r>
        <w:rPr>
          <w:b/>
          <w:bCs/>
        </w:rPr>
        <w:t xml:space="preserve">A)</w:t>
      </w:r>
      <w:r>
        <w:t xml:space="preserve"> </w:t>
      </w:r>
      <w:r>
        <w:rPr>
          <w:b/>
          <w:bCs/>
        </w:rPr>
        <w:t xml:space="preserve">Do Contraditório e da Ampla Defesa</w:t>
      </w:r>
      <w:r>
        <w:br/>
      </w:r>
      <w:r>
        <w:t xml:space="preserve">O CPC estabelece, no seu artigo 20.º, que “todos os interessados têm o direito de ser ouvidos, de forma plena e efetiva, antes de qualquer decisão que lhes possa ser desfavorável”. No presente caso, a sentença interlocutória foi proferida</w:t>
      </w:r>
      <w:r>
        <w:t xml:space="preserve"> </w:t>
      </w:r>
      <w:r>
        <w:rPr>
          <w:b/>
          <w:bCs/>
        </w:rPr>
        <w:t xml:space="preserve">ex parte</w:t>
      </w:r>
      <w:r>
        <w:t xml:space="preserve">, impedindo que os apelantes apresentassem a sua versão dos factos e a prova pericial que poderia afastar a suposta situação de risco.</w:t>
      </w:r>
    </w:p>
    <w:p>
      <w:pPr>
        <w:pStyle w:val="BodyText"/>
      </w:pPr>
      <w:r>
        <w:rPr>
          <w:b/>
          <w:bCs/>
        </w:rPr>
        <w:t xml:space="preserve">B)</w:t>
      </w:r>
      <w:r>
        <w:t xml:space="preserve"> </w:t>
      </w:r>
      <w:r>
        <w:rPr>
          <w:b/>
          <w:bCs/>
        </w:rPr>
        <w:t xml:space="preserve">Do Excesso da Medida Cautelar</w:t>
      </w:r>
      <w:r>
        <w:br/>
      </w:r>
      <w:r>
        <w:t xml:space="preserve">De acordo com o artigo 561.º, n.º 2, CPC, a medida cautelar deve ser “necessária, adequada e proporcional ao fim que se pretende alcançar”. A interdição da atividade da associação, entidade que presta serviços essenciais a dezenas de jovens, e o afastamento de Carlos Mendes, sem demonstração de perigo concreto, revelam-se</w:t>
      </w:r>
      <w:r>
        <w:t xml:space="preserve"> </w:t>
      </w:r>
      <w:r>
        <w:rPr>
          <w:b/>
          <w:bCs/>
        </w:rPr>
        <w:t xml:space="preserve">excessivas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desproporcionais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C)</w:t>
      </w:r>
      <w:r>
        <w:t xml:space="preserve"> </w:t>
      </w:r>
      <w:r>
        <w:rPr>
          <w:b/>
          <w:bCs/>
        </w:rPr>
        <w:t xml:space="preserve">Da Falta de Motivação</w:t>
      </w:r>
      <w:r>
        <w:br/>
      </w:r>
      <w:r>
        <w:t xml:space="preserve">A decisão recorrida não descreve os factos concretos nem a fundamentação jurídica que justificariam a imposição das medidas. Segundo o artigo 197.º CPC, a sentença deve conter “exposição clara e completa dos factos, das razões de direito e da motivação”. A ausência desta motivação vulnera o direito à segurança jurídica.</w:t>
      </w:r>
    </w:p>
    <w:p>
      <w:pPr>
        <w:pStyle w:val="BodyText"/>
      </w:pPr>
      <w:r>
        <w:rPr>
          <w:b/>
          <w:bCs/>
        </w:rPr>
        <w:t xml:space="preserve">D)</w:t>
      </w:r>
      <w:r>
        <w:t xml:space="preserve"> </w:t>
      </w:r>
      <w:r>
        <w:rPr>
          <w:b/>
          <w:bCs/>
        </w:rPr>
        <w:t xml:space="preserve">Da Inexistência de Perigo de Fuga ou de Obstáculo à Instrução</w:t>
      </w:r>
      <w:r>
        <w:br/>
      </w:r>
      <w:r>
        <w:t xml:space="preserve">Nos autos não consta qualquer indício de que os apelantes pretendam obstruir a investigação criminal ou fugir ao processo, o que inviabiliza a aplicação de medida tão gravosa.</w:t>
      </w:r>
    </w:p>
    <w:p>
      <w:pPr>
        <w:pStyle w:val="BodyText"/>
      </w:pPr>
      <w:r>
        <w:rPr>
          <w:b/>
          <w:bCs/>
        </w:rPr>
        <w:t xml:space="preserve">E)</w:t>
      </w:r>
      <w:r>
        <w:t xml:space="preserve"> </w:t>
      </w:r>
      <w:r>
        <w:rPr>
          <w:b/>
          <w:bCs/>
        </w:rPr>
        <w:t xml:space="preserve">Da Proporcionalidade da Indemnização Provisória</w:t>
      </w:r>
      <w:r>
        <w:br/>
      </w:r>
      <w:r>
        <w:t xml:space="preserve">A fixação de € 150 000,00 como indemnização provisória carece de suporte probatório. O artigo 4.º, n.º 1, da Lei n.º 71/2017 impõe que a indemnização seja fixada com base em prova do dano efetivo, o que não ocorreu.</w:t>
      </w:r>
    </w:p>
    <w:bookmarkEnd w:id="11"/>
    <w:bookmarkStart w:id="12" w:name="iii-pedidos"/>
    <w:p>
      <w:pPr>
        <w:pStyle w:val="Heading4"/>
      </w:pPr>
      <w:r>
        <w:t xml:space="preserve">III –</w:t>
      </w:r>
      <w:r>
        <w:t xml:space="preserve"> </w:t>
      </w:r>
      <w:r>
        <w:rPr>
          <w:b/>
          <w:bCs/>
        </w:rPr>
        <w:t xml:space="preserve">Pedidos</w:t>
      </w:r>
    </w:p>
    <w:p>
      <w:pPr>
        <w:pStyle w:val="FirstParagraph"/>
      </w:pPr>
      <w:r>
        <w:rPr>
          <w:b/>
          <w:bCs/>
        </w:rPr>
        <w:t xml:space="preserve">Pelo presente recurso, requer-se a V. Exa.: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admissão do recurso de apelação</w:t>
      </w:r>
      <w:r>
        <w:t xml:space="preserve">, nos termos dos artigos 562.º e seguintes do CPC;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anulação da sentença interlocutória proferida em 10 de janeiro de 2024</w:t>
      </w:r>
      <w:r>
        <w:t xml:space="preserve">, por violação dos princípios do contraditório, da ampla defesa e da proporcionalidade;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substituição da medida cautelar de interdição preventiva</w:t>
      </w:r>
      <w:r>
        <w:t xml:space="preserve"> </w:t>
      </w:r>
      <w:r>
        <w:t xml:space="preserve">da Associação Casa da Juventude, Lda. por medida menos gravosa, nomeadamente a imposição de</w:t>
      </w:r>
      <w:r>
        <w:t xml:space="preserve"> </w:t>
      </w:r>
      <w:r>
        <w:rPr>
          <w:b/>
          <w:bCs/>
        </w:rPr>
        <w:t xml:space="preserve">monitorização regular</w:t>
      </w:r>
      <w:r>
        <w:t xml:space="preserve"> </w:t>
      </w:r>
      <w:r>
        <w:t xml:space="preserve">por peritos designados pelo tribunal;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O afastamento de Carlos Mendes</w:t>
      </w:r>
      <w:r>
        <w:t xml:space="preserve"> </w:t>
      </w:r>
      <w:r>
        <w:t xml:space="preserve">apenas enquanto perdurar a investigação criminal, mediante</w:t>
      </w:r>
      <w:r>
        <w:t xml:space="preserve"> </w:t>
      </w:r>
      <w:r>
        <w:rPr>
          <w:b/>
          <w:bCs/>
        </w:rPr>
        <w:t xml:space="preserve">ordenação de comparecimento</w:t>
      </w:r>
      <w:r>
        <w:t xml:space="preserve"> </w:t>
      </w:r>
      <w:r>
        <w:t xml:space="preserve">quando necessário;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revogação da indemnização provisória</w:t>
      </w:r>
      <w:r>
        <w:t xml:space="preserve"> </w:t>
      </w:r>
      <w:r>
        <w:t xml:space="preserve">fixada em € 150 000,00, determinando a produção de prova pericial de danos morais e patrimoniais antes de qualquer fixação de quantia;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concessão de prazo</w:t>
      </w:r>
      <w:r>
        <w:t xml:space="preserve"> </w:t>
      </w:r>
      <w:r>
        <w:t xml:space="preserve">de 15 dias úteis para a apresentação de</w:t>
      </w:r>
      <w:r>
        <w:t xml:space="preserve"> </w:t>
      </w:r>
      <w:r>
        <w:rPr>
          <w:b/>
          <w:bCs/>
        </w:rPr>
        <w:t xml:space="preserve">memória de cálculo</w:t>
      </w:r>
      <w:r>
        <w:t xml:space="preserve"> </w:t>
      </w:r>
      <w:r>
        <w:t xml:space="preserve">dos custos efetivamente suportados pelos apelantes, bem como de</w:t>
      </w:r>
      <w:r>
        <w:t xml:space="preserve"> </w:t>
      </w:r>
      <w:r>
        <w:rPr>
          <w:b/>
          <w:bCs/>
        </w:rPr>
        <w:t xml:space="preserve">documentação complementar</w:t>
      </w:r>
      <w:r>
        <w:t xml:space="preserve"> </w:t>
      </w:r>
      <w:r>
        <w:t xml:space="preserve">que demonstre a inexistência de risco para o menor;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condenação do apelado ao pagamento das custas processuais e dos honorários de advogado</w:t>
      </w:r>
      <w:r>
        <w:t xml:space="preserve">, nos termos do artigo 84.º do CPC.</w:t>
      </w:r>
    </w:p>
    <w:bookmarkEnd w:id="12"/>
    <w:bookmarkStart w:id="13" w:name="iv-provas-a-produzir"/>
    <w:p>
      <w:pPr>
        <w:pStyle w:val="Heading4"/>
      </w:pPr>
      <w:r>
        <w:t xml:space="preserve">IV –</w:t>
      </w:r>
      <w:r>
        <w:t xml:space="preserve"> </w:t>
      </w:r>
      <w:r>
        <w:rPr>
          <w:b/>
          <w:bCs/>
        </w:rPr>
        <w:t xml:space="preserve">Provas a Produzir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560"/>
        <w:gridCol w:w="33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Tipo de Prova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Objetivo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Perícia Psicológica</w:t>
            </w:r>
            <w:r>
              <w:t xml:space="preserve"> </w:t>
            </w:r>
            <w:r>
              <w:t xml:space="preserve">ao menor João Silva</w:t>
            </w:r>
          </w:p>
        </w:tc>
        <w:tc>
          <w:tcPr/>
          <w:p>
            <w:pPr>
              <w:pStyle w:val="Compact"/>
            </w:pPr>
            <w:r>
              <w:t xml:space="preserve">Avaliar a existência de trauma decorrente dos factos alegados e a necessidade real de medidas protetivas.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Perícia Contabilística</w:t>
            </w:r>
            <w:r>
              <w:t xml:space="preserve"> </w:t>
            </w:r>
            <w:r>
              <w:t xml:space="preserve">da Associação Casa da Juventude, Lda.</w:t>
            </w:r>
          </w:p>
        </w:tc>
        <w:tc>
          <w:tcPr/>
          <w:p>
            <w:pPr>
              <w:pStyle w:val="Compact"/>
            </w:pPr>
            <w:r>
              <w:t xml:space="preserve">Verificar a inexistência de desvios ou falhas na gestão que justifiquem a interdição preventiva.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Testemunho de terceiros</w:t>
            </w:r>
            <w:r>
              <w:t xml:space="preserve"> </w:t>
            </w:r>
            <w:r>
              <w:t xml:space="preserve">(voluntários e beneficiários da associação)</w:t>
            </w:r>
          </w:p>
        </w:tc>
        <w:tc>
          <w:tcPr/>
          <w:p>
            <w:pPr>
              <w:pStyle w:val="Compact"/>
            </w:pPr>
            <w:r>
              <w:t xml:space="preserve">Comprovar a inexistência de risco concreto para menores.</w:t>
            </w:r>
          </w:p>
        </w:tc>
      </w:tr>
    </w:tbl>
    <w:bookmarkEnd w:id="13"/>
    <w:bookmarkStart w:id="14" w:name="v-termos-de-apresentação"/>
    <w:p>
      <w:pPr>
        <w:pStyle w:val="Heading4"/>
      </w:pPr>
      <w:r>
        <w:t xml:space="preserve">V –</w:t>
      </w:r>
      <w:r>
        <w:t xml:space="preserve"> </w:t>
      </w:r>
      <w:r>
        <w:rPr>
          <w:b/>
          <w:bCs/>
        </w:rPr>
        <w:t xml:space="preserve">Termos de Apresentação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Data de interposição:</w:t>
      </w:r>
      <w:r>
        <w:t xml:space="preserve"> </w:t>
      </w:r>
      <w:r>
        <w:t xml:space="preserve">22 de fevereiro de 2024.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Local:</w:t>
      </w:r>
      <w:r>
        <w:t xml:space="preserve"> </w:t>
      </w:r>
      <w:r>
        <w:t xml:space="preserve">Tribunal da Relação de Lisboa, 1.º Andar, Sala 3, Rua da Prata, 1249‑001 Lisboa.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Assinatura:</w:t>
      </w:r>
    </w:p>
    <w:p>
      <w:pPr>
        <w:pStyle w:val="BlockText"/>
      </w:pPr>
      <w:r>
        <w:rPr>
          <w:b/>
          <w:bCs/>
        </w:rPr>
        <w:t xml:space="preserve">Dr. Luís Costa</w:t>
      </w:r>
      <w:r>
        <w:t xml:space="preserve"> </w:t>
      </w:r>
      <w:r>
        <w:t xml:space="preserve">– Advogado, OA 12345</w:t>
      </w:r>
      <w:r>
        <w:br/>
      </w:r>
      <w:r>
        <w:rPr>
          <w:b/>
          <w:bCs/>
        </w:rPr>
        <w:t xml:space="preserve">Dra. Sofia Almeida</w:t>
      </w:r>
      <w:r>
        <w:t xml:space="preserve"> </w:t>
      </w:r>
      <w:r>
        <w:t xml:space="preserve">– Advogada, OA 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Junta‑se ao presente recurso: (i) cópia da sentença interlocutória de 10 de janeiro de 2024; (ii) procuração outorgada pelos apelantes; (iii) documentos de identidade dos apelantes; (iv) comprovativo de pagamento das custas de recurso.</w:t>
      </w:r>
    </w:p>
    <w:bookmarkEnd w:id="14"/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